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w:t>
      </w:r>
      <w:r w:rsidR="005F6B06">
        <w:rPr>
          <w:rFonts w:ascii="Palatino Linotype" w:eastAsia="Calibri" w:hAnsi="Palatino Linotype" w:cs="Arial"/>
          <w:b/>
          <w:sz w:val="24"/>
          <w:szCs w:val="24"/>
        </w:rPr>
        <w:t>ÁNDEZ EN EL RECURSO DE REVISIÓN 04807</w:t>
      </w:r>
      <w:r w:rsidR="003D1DF8">
        <w:rPr>
          <w:rFonts w:ascii="Palatino Linotype" w:eastAsia="Calibri" w:hAnsi="Palatino Linotype" w:cs="Arial"/>
          <w:b/>
          <w:sz w:val="24"/>
          <w:szCs w:val="24"/>
        </w:rPr>
        <w:t>/INFOEM/IP/RR/201</w:t>
      </w:r>
      <w:r w:rsidR="005F6B06">
        <w:rPr>
          <w:rFonts w:ascii="Palatino Linotype" w:eastAsia="Calibri" w:hAnsi="Palatino Linotype" w:cs="Arial"/>
          <w:b/>
          <w:sz w:val="24"/>
          <w:szCs w:val="24"/>
        </w:rPr>
        <w:t>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CB08A7" w:rsidRDefault="00CB08A7" w:rsidP="00CB08A7">
      <w:p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Los </w:t>
      </w:r>
      <w:r w:rsidRPr="00CB08A7">
        <w:rPr>
          <w:rFonts w:ascii="Palatino Linotype" w:eastAsia="Calibri" w:hAnsi="Palatino Linotype" w:cs="Arial"/>
          <w:sz w:val="24"/>
          <w:szCs w:val="24"/>
        </w:rPr>
        <w:t>Sujetos Obligados que generen, posean o administren documentos que contengan datos personales, son responsables del tratamiento de estos datos, deberán observar los principios de licitud, consentimiento, información, calidad, lealtad, finalidad, proporcionalidad y responsabilidad; situación que no impide que las fotografías</w:t>
      </w:r>
      <w:r>
        <w:rPr>
          <w:rFonts w:ascii="Palatino Linotype" w:eastAsia="Calibri" w:hAnsi="Palatino Linotype" w:cs="Arial"/>
          <w:sz w:val="24"/>
          <w:szCs w:val="24"/>
        </w:rPr>
        <w:t xml:space="preserve"> de los hechos contenidas en el expediente</w:t>
      </w:r>
      <w:r w:rsidRPr="00CB08A7">
        <w:rPr>
          <w:rFonts w:ascii="Palatino Linotype" w:eastAsia="Calibri" w:hAnsi="Palatino Linotype" w:cs="Arial"/>
          <w:sz w:val="24"/>
          <w:szCs w:val="24"/>
        </w:rPr>
        <w:t xml:space="preserve"> puedan entregarse en </w:t>
      </w:r>
      <w:r>
        <w:rPr>
          <w:rFonts w:ascii="Palatino Linotype" w:eastAsia="Calibri" w:hAnsi="Palatino Linotype" w:cs="Arial"/>
          <w:sz w:val="24"/>
          <w:szCs w:val="24"/>
        </w:rPr>
        <w:t xml:space="preserve">versión </w:t>
      </w:r>
      <w:r w:rsidRPr="00CB08A7">
        <w:rPr>
          <w:rFonts w:ascii="Palatino Linotype" w:eastAsia="Calibri" w:hAnsi="Palatino Linotype" w:cs="Arial"/>
          <w:sz w:val="24"/>
          <w:szCs w:val="24"/>
        </w:rPr>
        <w:t>p</w:t>
      </w:r>
      <w:r>
        <w:rPr>
          <w:rFonts w:ascii="Palatino Linotype" w:eastAsia="Calibri" w:hAnsi="Palatino Linotype" w:cs="Arial"/>
          <w:sz w:val="24"/>
          <w:szCs w:val="24"/>
        </w:rPr>
        <w:t xml:space="preserve">ública, máxime que el titular de tales documentos los requiere y acredita personalidad. </w:t>
      </w:r>
    </w:p>
    <w:p w:rsidR="00CB08A7" w:rsidRDefault="00CB08A7" w:rsidP="00FE083B">
      <w:pPr>
        <w:pStyle w:val="Sinespaciado"/>
        <w:spacing w:line="360" w:lineRule="auto"/>
        <w:jc w:val="both"/>
        <w:rPr>
          <w:rFonts w:ascii="Palatino Linotype" w:eastAsia="Calibri" w:hAnsi="Palatino Linotype" w:cs="Arial"/>
          <w:sz w:val="24"/>
          <w:szCs w:val="24"/>
        </w:rPr>
      </w:pPr>
    </w:p>
    <w:p w:rsidR="00A25037" w:rsidRPr="00A25037" w:rsidRDefault="00A25037" w:rsidP="00510F12">
      <w:pPr>
        <w:spacing w:line="360" w:lineRule="auto"/>
        <w:jc w:val="both"/>
        <w:rPr>
          <w:rFonts w:ascii="Palatino Linotype" w:eastAsia="Times New Roman" w:hAnsi="Palatino Linotype"/>
          <w:b/>
          <w:color w:val="000000" w:themeColor="text1"/>
        </w:rPr>
      </w:pPr>
      <w:r>
        <w:rPr>
          <w:rFonts w:ascii="Palatino Linotype" w:eastAsia="Times New Roman" w:hAnsi="Palatino Linotype"/>
          <w:b/>
          <w:color w:val="000000" w:themeColor="text1"/>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605C7F" w:rsidRDefault="009C382C">
          <w:pPr>
            <w:pStyle w:val="TDC1"/>
            <w:rPr>
              <w:rFonts w:eastAsiaTheme="minorEastAsia"/>
              <w:noProof/>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3203375" w:history="1">
            <w:r w:rsidR="00605C7F" w:rsidRPr="00CE1CC2">
              <w:rPr>
                <w:rStyle w:val="Hipervnculo"/>
                <w:rFonts w:ascii="Palatino Linotype" w:eastAsia="Times New Roman" w:hAnsi="Palatino Linotype"/>
                <w:b/>
                <w:noProof/>
              </w:rPr>
              <w:t>I.</w:t>
            </w:r>
            <w:r w:rsidR="00605C7F">
              <w:rPr>
                <w:rFonts w:eastAsiaTheme="minorEastAsia"/>
                <w:noProof/>
                <w:lang w:eastAsia="es-MX"/>
              </w:rPr>
              <w:tab/>
            </w:r>
            <w:r w:rsidR="00605C7F" w:rsidRPr="00CE1CC2">
              <w:rPr>
                <w:rStyle w:val="Hipervnculo"/>
                <w:rFonts w:ascii="Palatino Linotype" w:eastAsia="Times New Roman" w:hAnsi="Palatino Linotype"/>
                <w:b/>
                <w:noProof/>
              </w:rPr>
              <w:t>Consideraciones Generales</w:t>
            </w:r>
            <w:r w:rsidR="00605C7F">
              <w:rPr>
                <w:noProof/>
                <w:webHidden/>
              </w:rPr>
              <w:tab/>
            </w:r>
            <w:r w:rsidR="00605C7F">
              <w:rPr>
                <w:noProof/>
                <w:webHidden/>
              </w:rPr>
              <w:fldChar w:fldCharType="begin"/>
            </w:r>
            <w:r w:rsidR="00605C7F">
              <w:rPr>
                <w:noProof/>
                <w:webHidden/>
              </w:rPr>
              <w:instrText xml:space="preserve"> PAGEREF _Toc3203375 \h </w:instrText>
            </w:r>
            <w:r w:rsidR="00605C7F">
              <w:rPr>
                <w:noProof/>
                <w:webHidden/>
              </w:rPr>
            </w:r>
            <w:r w:rsidR="00605C7F">
              <w:rPr>
                <w:noProof/>
                <w:webHidden/>
              </w:rPr>
              <w:fldChar w:fldCharType="separate"/>
            </w:r>
            <w:r w:rsidR="00E0299B">
              <w:rPr>
                <w:noProof/>
                <w:webHidden/>
              </w:rPr>
              <w:t>1</w:t>
            </w:r>
            <w:r w:rsidR="00605C7F">
              <w:rPr>
                <w:noProof/>
                <w:webHidden/>
              </w:rPr>
              <w:fldChar w:fldCharType="end"/>
            </w:r>
          </w:hyperlink>
        </w:p>
        <w:p w:rsidR="00605C7F" w:rsidRDefault="00783389">
          <w:pPr>
            <w:pStyle w:val="TDC1"/>
            <w:rPr>
              <w:rFonts w:eastAsiaTheme="minorEastAsia"/>
              <w:noProof/>
              <w:lang w:eastAsia="es-MX"/>
            </w:rPr>
          </w:pPr>
          <w:hyperlink w:anchor="_Toc3203376" w:history="1">
            <w:r w:rsidR="00605C7F" w:rsidRPr="00CE1CC2">
              <w:rPr>
                <w:rStyle w:val="Hipervnculo"/>
                <w:rFonts w:ascii="Palatino Linotype" w:eastAsia="Calibri" w:hAnsi="Palatino Linotype"/>
                <w:b/>
                <w:noProof/>
                <w:lang w:val="es-ES"/>
              </w:rPr>
              <w:t>II.</w:t>
            </w:r>
            <w:r w:rsidR="00605C7F">
              <w:rPr>
                <w:rFonts w:eastAsiaTheme="minorEastAsia"/>
                <w:noProof/>
                <w:lang w:eastAsia="es-MX"/>
              </w:rPr>
              <w:tab/>
            </w:r>
            <w:r w:rsidR="00605C7F" w:rsidRPr="00CE1CC2">
              <w:rPr>
                <w:rStyle w:val="Hipervnculo"/>
                <w:rFonts w:ascii="Palatino Linotype" w:eastAsia="Calibri" w:hAnsi="Palatino Linotype"/>
                <w:b/>
                <w:noProof/>
                <w:lang w:val="es-ES"/>
              </w:rPr>
              <w:t>De los requerimientos planteados en el recurso de revisión.</w:t>
            </w:r>
            <w:r w:rsidR="00605C7F">
              <w:rPr>
                <w:noProof/>
                <w:webHidden/>
              </w:rPr>
              <w:tab/>
            </w:r>
            <w:r w:rsidR="00605C7F">
              <w:rPr>
                <w:noProof/>
                <w:webHidden/>
              </w:rPr>
              <w:fldChar w:fldCharType="begin"/>
            </w:r>
            <w:r w:rsidR="00605C7F">
              <w:rPr>
                <w:noProof/>
                <w:webHidden/>
              </w:rPr>
              <w:instrText xml:space="preserve"> PAGEREF _Toc3203376 \h </w:instrText>
            </w:r>
            <w:r w:rsidR="00605C7F">
              <w:rPr>
                <w:noProof/>
                <w:webHidden/>
              </w:rPr>
            </w:r>
            <w:r w:rsidR="00605C7F">
              <w:rPr>
                <w:noProof/>
                <w:webHidden/>
              </w:rPr>
              <w:fldChar w:fldCharType="separate"/>
            </w:r>
            <w:r w:rsidR="00E0299B">
              <w:rPr>
                <w:noProof/>
                <w:webHidden/>
              </w:rPr>
              <w:t>3</w:t>
            </w:r>
            <w:r w:rsidR="00605C7F">
              <w:rPr>
                <w:noProof/>
                <w:webHidden/>
              </w:rPr>
              <w:fldChar w:fldCharType="end"/>
            </w:r>
          </w:hyperlink>
        </w:p>
        <w:p w:rsidR="00605C7F" w:rsidRDefault="00783389">
          <w:pPr>
            <w:pStyle w:val="TDC1"/>
            <w:rPr>
              <w:rFonts w:eastAsiaTheme="minorEastAsia"/>
              <w:noProof/>
              <w:lang w:eastAsia="es-MX"/>
            </w:rPr>
          </w:pPr>
          <w:hyperlink w:anchor="_Toc3203377" w:history="1">
            <w:r w:rsidR="00605C7F" w:rsidRPr="00CE1CC2">
              <w:rPr>
                <w:rStyle w:val="Hipervnculo"/>
                <w:rFonts w:ascii="Palatino Linotype" w:hAnsi="Palatino Linotype"/>
                <w:b/>
                <w:noProof/>
              </w:rPr>
              <w:t>III.</w:t>
            </w:r>
            <w:r w:rsidR="00605C7F">
              <w:rPr>
                <w:rFonts w:eastAsiaTheme="minorEastAsia"/>
                <w:noProof/>
                <w:lang w:eastAsia="es-MX"/>
              </w:rPr>
              <w:tab/>
            </w:r>
            <w:r w:rsidR="00605C7F" w:rsidRPr="00CE1CC2">
              <w:rPr>
                <w:rStyle w:val="Hipervnculo"/>
                <w:rFonts w:ascii="Palatino Linotype" w:hAnsi="Palatino Linotype"/>
                <w:b/>
                <w:noProof/>
              </w:rPr>
              <w:t>De la acreditación de la debida búsqueda exhaustiva y razonable de la información.</w:t>
            </w:r>
            <w:r w:rsidR="00605C7F">
              <w:rPr>
                <w:noProof/>
                <w:webHidden/>
              </w:rPr>
              <w:tab/>
            </w:r>
            <w:r w:rsidR="00605C7F">
              <w:rPr>
                <w:noProof/>
                <w:webHidden/>
              </w:rPr>
              <w:fldChar w:fldCharType="begin"/>
            </w:r>
            <w:r w:rsidR="00605C7F">
              <w:rPr>
                <w:noProof/>
                <w:webHidden/>
              </w:rPr>
              <w:instrText xml:space="preserve"> PAGEREF _Toc3203377 \h </w:instrText>
            </w:r>
            <w:r w:rsidR="00605C7F">
              <w:rPr>
                <w:noProof/>
                <w:webHidden/>
              </w:rPr>
            </w:r>
            <w:r w:rsidR="00605C7F">
              <w:rPr>
                <w:noProof/>
                <w:webHidden/>
              </w:rPr>
              <w:fldChar w:fldCharType="separate"/>
            </w:r>
            <w:r w:rsidR="00E0299B">
              <w:rPr>
                <w:noProof/>
                <w:webHidden/>
              </w:rPr>
              <w:t>5</w:t>
            </w:r>
            <w:r w:rsidR="00605C7F">
              <w:rPr>
                <w:noProof/>
                <w:webHidden/>
              </w:rPr>
              <w:fldChar w:fldCharType="end"/>
            </w:r>
          </w:hyperlink>
        </w:p>
        <w:p w:rsidR="00A25037" w:rsidRDefault="009C382C" w:rsidP="00A25037">
          <w:pPr>
            <w:spacing w:line="480" w:lineRule="auto"/>
            <w:rPr>
              <w:rFonts w:ascii="Palatino Linotype" w:hAnsi="Palatino Linotype"/>
              <w:b/>
              <w:bCs/>
              <w:sz w:val="24"/>
              <w:szCs w:val="24"/>
              <w:lang w:val="es-ES"/>
            </w:rPr>
          </w:pPr>
          <w:r w:rsidRPr="00FE083B">
            <w:rPr>
              <w:rFonts w:ascii="Palatino Linotype" w:hAnsi="Palatino Linotype"/>
              <w:b/>
              <w:bCs/>
              <w:color w:val="0D0D0D" w:themeColor="text1" w:themeTint="F2"/>
              <w:sz w:val="24"/>
              <w:szCs w:val="24"/>
              <w:lang w:val="es-ES"/>
            </w:rPr>
            <w:fldChar w:fldCharType="end"/>
          </w:r>
        </w:p>
      </w:sdtContent>
    </w:sdt>
    <w:p w:rsidR="000D5AEA" w:rsidRPr="00877AE6" w:rsidRDefault="000D5AEA" w:rsidP="005346F7">
      <w:pPr>
        <w:pStyle w:val="Ttulo1"/>
        <w:numPr>
          <w:ilvl w:val="0"/>
          <w:numId w:val="2"/>
        </w:numPr>
        <w:rPr>
          <w:rFonts w:ascii="Palatino Linotype" w:eastAsia="Times New Roman" w:hAnsi="Palatino Linotype"/>
          <w:b/>
          <w:sz w:val="24"/>
          <w:szCs w:val="24"/>
        </w:rPr>
      </w:pPr>
      <w:bookmarkStart w:id="1" w:name="_Toc3203375"/>
      <w:r w:rsidRPr="00877AE6">
        <w:rPr>
          <w:rFonts w:ascii="Palatino Linotype" w:eastAsia="Times New Roman" w:hAnsi="Palatino Linotype"/>
          <w:b/>
          <w:color w:val="auto"/>
          <w:sz w:val="24"/>
          <w:szCs w:val="24"/>
        </w:rPr>
        <w:t>Consideraciones Generales</w:t>
      </w:r>
      <w:bookmarkEnd w:id="1"/>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5346F7">
      <w:pPr>
        <w:numPr>
          <w:ilvl w:val="0"/>
          <w:numId w:val="1"/>
        </w:numPr>
        <w:spacing w:after="0" w:line="360" w:lineRule="auto"/>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w:t>
      </w:r>
      <w:r w:rsidR="000D5AEA" w:rsidRPr="00877AE6">
        <w:rPr>
          <w:rFonts w:ascii="Palatino Linotype" w:eastAsia="Calibri" w:hAnsi="Palatino Linotype" w:cs="Arial"/>
          <w:sz w:val="24"/>
          <w:szCs w:val="24"/>
        </w:rPr>
        <w:lastRenderedPageBreak/>
        <w:t xml:space="preserve">Protección de Datos Personales del Estado de México y Municipios, en su </w:t>
      </w:r>
      <w:r w:rsidR="00A25037">
        <w:rPr>
          <w:rFonts w:ascii="Palatino Linotype" w:eastAsia="Calibri" w:hAnsi="Palatino Linotype" w:cs="Arial"/>
          <w:sz w:val="24"/>
          <w:szCs w:val="24"/>
        </w:rPr>
        <w:t>novena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A25037">
        <w:rPr>
          <w:rFonts w:ascii="Palatino Linotype" w:eastAsia="Calibri" w:hAnsi="Palatino Linotype" w:cs="Arial"/>
          <w:sz w:val="24"/>
          <w:szCs w:val="24"/>
        </w:rPr>
        <w:t>seis</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A25037">
        <w:rPr>
          <w:rFonts w:ascii="Palatino Linotype" w:eastAsia="Calibri" w:hAnsi="Palatino Linotype" w:cs="Arial"/>
          <w:sz w:val="24"/>
          <w:szCs w:val="24"/>
        </w:rPr>
        <w:t>06</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A25037">
        <w:rPr>
          <w:rFonts w:ascii="Palatino Linotype" w:eastAsia="Calibri" w:hAnsi="Palatino Linotype" w:cs="Arial"/>
          <w:sz w:val="24"/>
          <w:szCs w:val="24"/>
        </w:rPr>
        <w:t>marzo</w:t>
      </w:r>
      <w:r w:rsidR="00656A65">
        <w:rPr>
          <w:rFonts w:ascii="Palatino Linotype" w:eastAsia="Calibri" w:hAnsi="Palatino Linotype" w:cs="Arial"/>
          <w:sz w:val="24"/>
          <w:szCs w:val="24"/>
        </w:rPr>
        <w:t xml:space="preserve"> del año dos mil </w:t>
      </w:r>
      <w:r w:rsidR="00A25037">
        <w:rPr>
          <w:rFonts w:ascii="Palatino Linotype" w:eastAsia="Calibri" w:hAnsi="Palatino Linotype" w:cs="Arial"/>
          <w:sz w:val="24"/>
          <w:szCs w:val="24"/>
        </w:rPr>
        <w:t>dieci</w:t>
      </w:r>
      <w:r w:rsidR="00656A65">
        <w:rPr>
          <w:rFonts w:ascii="Palatino Linotype" w:eastAsia="Calibri" w:hAnsi="Palatino Linotype" w:cs="Arial"/>
          <w:sz w:val="24"/>
          <w:szCs w:val="24"/>
        </w:rPr>
        <w:t>nueve</w:t>
      </w:r>
      <w:r w:rsidR="004B0239" w:rsidRPr="00877AE6">
        <w:rPr>
          <w:rFonts w:ascii="Palatino Linotype" w:eastAsia="Calibri" w:hAnsi="Palatino Linotype" w:cs="Arial"/>
          <w:sz w:val="24"/>
          <w:szCs w:val="24"/>
        </w:rPr>
        <w:t>, en el recurso de revisión</w:t>
      </w:r>
      <w:r w:rsidR="00A25037">
        <w:rPr>
          <w:rFonts w:ascii="Palatino Linotype" w:eastAsia="Calibri" w:hAnsi="Palatino Linotype" w:cs="Arial"/>
          <w:sz w:val="24"/>
          <w:szCs w:val="24"/>
        </w:rPr>
        <w:t xml:space="preserve"> escrito</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 xml:space="preserve">en contra de </w:t>
      </w:r>
      <w:r w:rsidR="00A25037">
        <w:rPr>
          <w:rFonts w:ascii="Palatino Linotype" w:eastAsia="Calibri" w:hAnsi="Palatino Linotype" w:cs="Arial"/>
          <w:sz w:val="24"/>
          <w:szCs w:val="24"/>
        </w:rPr>
        <w:t>la respuesta</w:t>
      </w:r>
      <w:r w:rsidR="004B0239" w:rsidRPr="00877AE6">
        <w:rPr>
          <w:rFonts w:ascii="Palatino Linotype" w:eastAsia="Calibri" w:hAnsi="Palatino Linotype" w:cs="Arial"/>
          <w:sz w:val="24"/>
          <w:szCs w:val="24"/>
        </w:rPr>
        <w:t xml:space="preserve"> del</w:t>
      </w:r>
      <w:r w:rsidR="00E469EB" w:rsidRPr="00877AE6">
        <w:rPr>
          <w:rFonts w:ascii="Palatino Linotype" w:eastAsia="Times New Roman" w:hAnsi="Palatino Linotype" w:cs="Arial"/>
          <w:b/>
          <w:sz w:val="24"/>
          <w:szCs w:val="24"/>
          <w:lang w:val="es-ES" w:eastAsia="es-ES"/>
        </w:rPr>
        <w:t xml:space="preserve"> </w:t>
      </w:r>
      <w:r w:rsidR="005F6B06">
        <w:rPr>
          <w:rFonts w:ascii="Palatino Linotype" w:hAnsi="Palatino Linotype" w:cs="Arial"/>
          <w:b/>
          <w:sz w:val="24"/>
          <w:szCs w:val="24"/>
        </w:rPr>
        <w:t>Ayuntamiento de Chalco</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A25037">
        <w:rPr>
          <w:rFonts w:ascii="Palatino Linotype" w:eastAsia="Calibri" w:hAnsi="Palatino Linotype" w:cs="Arial"/>
          <w:b/>
          <w:sz w:val="24"/>
          <w:szCs w:val="24"/>
        </w:rPr>
        <w:t>0</w:t>
      </w:r>
      <w:r w:rsidR="005F6B06">
        <w:rPr>
          <w:rFonts w:ascii="Palatino Linotype" w:eastAsia="Calibri" w:hAnsi="Palatino Linotype" w:cs="Arial"/>
          <w:b/>
          <w:sz w:val="24"/>
          <w:szCs w:val="24"/>
        </w:rPr>
        <w:t>4807</w:t>
      </w:r>
      <w:r w:rsidR="003D1DF8">
        <w:rPr>
          <w:rFonts w:ascii="Palatino Linotype" w:hAnsi="Palatino Linotype"/>
          <w:b/>
          <w:sz w:val="24"/>
          <w:szCs w:val="24"/>
        </w:rPr>
        <w:t>/INFOEM/IP/RR/201</w:t>
      </w:r>
      <w:r w:rsidR="005F6B06">
        <w:rPr>
          <w:rFonts w:ascii="Palatino Linotype" w:hAnsi="Palatino Linotype"/>
          <w:b/>
          <w:sz w:val="24"/>
          <w:szCs w:val="24"/>
        </w:rPr>
        <w:t>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E23078" w:rsidRPr="005F6B06" w:rsidRDefault="000D5AEA" w:rsidP="005346F7">
      <w:pPr>
        <w:numPr>
          <w:ilvl w:val="0"/>
          <w:numId w:val="1"/>
        </w:numPr>
        <w:spacing w:after="0" w:line="360" w:lineRule="auto"/>
        <w:contextualSpacing/>
        <w:jc w:val="both"/>
        <w:rPr>
          <w:rFonts w:ascii="Palatino Linotype" w:hAnsi="Palatino Linotype"/>
          <w:sz w:val="24"/>
          <w:szCs w:val="24"/>
        </w:rPr>
      </w:pPr>
      <w:r w:rsidRPr="003D1DF8">
        <w:rPr>
          <w:rFonts w:ascii="Palatino Linotype" w:eastAsia="Calibri" w:hAnsi="Palatino Linotype" w:cs="Arial"/>
          <w:sz w:val="24"/>
          <w:szCs w:val="24"/>
        </w:rPr>
        <w:t>L</w:t>
      </w:r>
      <w:r w:rsidR="004B0239" w:rsidRPr="003D1DF8">
        <w:rPr>
          <w:rFonts w:ascii="Palatino Linotype" w:eastAsia="Calibri" w:hAnsi="Palatino Linotype" w:cs="Arial"/>
          <w:sz w:val="24"/>
          <w:szCs w:val="24"/>
        </w:rPr>
        <w:t xml:space="preserve">a resolución </w:t>
      </w:r>
      <w:r w:rsidR="00B87397">
        <w:rPr>
          <w:rFonts w:ascii="Palatino Linotype" w:eastAsia="Calibri" w:hAnsi="Palatino Linotype" w:cs="Arial"/>
          <w:sz w:val="24"/>
          <w:szCs w:val="24"/>
        </w:rPr>
        <w:t>determinó</w:t>
      </w:r>
      <w:r w:rsidR="00362134" w:rsidRPr="003D1DF8">
        <w:rPr>
          <w:rFonts w:ascii="Palatino Linotype" w:hAnsi="Palatino Linotype" w:cs="Arial"/>
          <w:sz w:val="24"/>
          <w:szCs w:val="24"/>
          <w:lang w:val="es-ES_tradnl"/>
        </w:rPr>
        <w:t xml:space="preserve">, </w:t>
      </w:r>
      <w:r w:rsidR="005F6B06">
        <w:rPr>
          <w:rFonts w:ascii="Palatino Linotype" w:hAnsi="Palatino Linotype" w:cs="Arial"/>
          <w:sz w:val="24"/>
          <w:szCs w:val="24"/>
          <w:lang w:val="es-ES_tradnl"/>
        </w:rPr>
        <w:t xml:space="preserve">revocar la respuesta y ordenar al Sujeto Obligado atender la solicitud de acceso a la información pública </w:t>
      </w:r>
      <w:r w:rsidR="005F6B06">
        <w:rPr>
          <w:rFonts w:ascii="Palatino Linotype" w:hAnsi="Palatino Linotype" w:cs="Arial"/>
          <w:b/>
          <w:sz w:val="24"/>
          <w:szCs w:val="24"/>
          <w:lang w:val="es-ES_tradnl"/>
        </w:rPr>
        <w:t xml:space="preserve">00265/CHALCO/IP/2018 </w:t>
      </w:r>
      <w:r w:rsidR="005F6B06">
        <w:rPr>
          <w:rFonts w:ascii="Palatino Linotype" w:hAnsi="Palatino Linotype" w:cs="Arial"/>
          <w:sz w:val="24"/>
          <w:szCs w:val="24"/>
          <w:lang w:val="es-ES_tradnl"/>
        </w:rPr>
        <w:t xml:space="preserve">y entregara lo siguiente: </w:t>
      </w:r>
    </w:p>
    <w:p w:rsidR="005F6B06" w:rsidRDefault="005F6B06" w:rsidP="005F6B06">
      <w:pPr>
        <w:pStyle w:val="Prrafodelista"/>
        <w:rPr>
          <w:rFonts w:ascii="Palatino Linotype" w:hAnsi="Palatino Linotype"/>
          <w:sz w:val="24"/>
          <w:szCs w:val="24"/>
        </w:rPr>
      </w:pPr>
    </w:p>
    <w:p w:rsidR="005F6B06" w:rsidRPr="00805D30" w:rsidRDefault="005F6B06" w:rsidP="005F6B06">
      <w:pPr>
        <w:pStyle w:val="Prrafodelista"/>
        <w:spacing w:line="276" w:lineRule="auto"/>
        <w:ind w:left="851" w:right="616"/>
        <w:jc w:val="both"/>
        <w:rPr>
          <w:rFonts w:ascii="Palatino Linotype" w:hAnsi="Palatino Linotype" w:cs="Arial"/>
          <w:i/>
        </w:rPr>
      </w:pPr>
      <w:r w:rsidRPr="00805D30">
        <w:rPr>
          <w:rFonts w:ascii="Palatino Linotype" w:hAnsi="Palatino Linotype" w:cs="Arial"/>
          <w:i/>
        </w:rPr>
        <w:t xml:space="preserve">En </w:t>
      </w:r>
      <w:r w:rsidRPr="00805D30">
        <w:rPr>
          <w:rFonts w:ascii="Palatino Linotype" w:hAnsi="Palatino Linotype" w:cs="Arial"/>
          <w:b/>
          <w:i/>
        </w:rPr>
        <w:t>copias certificadas con costo</w:t>
      </w:r>
      <w:r w:rsidRPr="00805D30">
        <w:rPr>
          <w:rFonts w:ascii="Palatino Linotype" w:hAnsi="Palatino Linotype" w:cs="Arial"/>
          <w:i/>
        </w:rPr>
        <w:t xml:space="preserve">, en versión pública el expediente número CHALCO/DDU/PAC/0440/2018, tramitado de conformidad con el procedimiento administrativo común, previsto en el Código de Procedimientos Administrativos del Estado de México. </w:t>
      </w:r>
    </w:p>
    <w:p w:rsidR="005F6B06" w:rsidRPr="00E23078" w:rsidRDefault="005F6B06" w:rsidP="005F6B06">
      <w:pPr>
        <w:spacing w:after="0" w:line="360" w:lineRule="auto"/>
        <w:ind w:left="360"/>
        <w:contextualSpacing/>
        <w:jc w:val="both"/>
        <w:rPr>
          <w:rFonts w:ascii="Palatino Linotype" w:hAnsi="Palatino Linotype"/>
          <w:sz w:val="24"/>
          <w:szCs w:val="24"/>
        </w:rPr>
      </w:pPr>
    </w:p>
    <w:p w:rsidR="005F6B06" w:rsidRPr="00805D30" w:rsidRDefault="005F6B06" w:rsidP="005F6B06">
      <w:pPr>
        <w:pStyle w:val="Textoindependiente"/>
        <w:spacing w:line="276" w:lineRule="auto"/>
        <w:ind w:left="851" w:right="899"/>
        <w:jc w:val="both"/>
        <w:rPr>
          <w:rFonts w:ascii="Palatino Linotype" w:hAnsi="Palatino Linotype"/>
          <w:i/>
          <w:sz w:val="22"/>
          <w:szCs w:val="22"/>
        </w:rPr>
      </w:pPr>
      <w:r w:rsidRPr="00805D30">
        <w:rPr>
          <w:rFonts w:ascii="Palatino Linotype" w:hAnsi="Palatino Linotype"/>
          <w:i/>
          <w:sz w:val="22"/>
          <w:szCs w:val="22"/>
        </w:rPr>
        <w:t xml:space="preserve">Debiendo notificar al </w:t>
      </w:r>
      <w:r w:rsidRPr="00805D30">
        <w:rPr>
          <w:rFonts w:ascii="Palatino Linotype" w:hAnsi="Palatino Linotype"/>
          <w:b/>
          <w:i/>
          <w:sz w:val="22"/>
          <w:szCs w:val="22"/>
        </w:rPr>
        <w:t xml:space="preserve">RECURRENTE </w:t>
      </w:r>
      <w:r w:rsidRPr="00805D30">
        <w:rPr>
          <w:rFonts w:ascii="Palatino Linotype" w:hAnsi="Palatino Linotype"/>
          <w:i/>
          <w:sz w:val="22"/>
          <w:szCs w:val="22"/>
        </w:rPr>
        <w:t xml:space="preserve">el Acuerdo de Clasificación de la información que emita el Comité de Transparencia con motivo de la versión pública, asimismo para el caso de </w:t>
      </w:r>
      <w:r w:rsidRPr="005F6B06">
        <w:rPr>
          <w:rFonts w:ascii="Palatino Linotype" w:hAnsi="Palatino Linotype"/>
          <w:b/>
          <w:i/>
          <w:sz w:val="22"/>
          <w:szCs w:val="22"/>
          <w:u w:val="single"/>
        </w:rPr>
        <w:t>documentos susceptibles de ser clasificados como información confidencial en su totalidad</w:t>
      </w:r>
      <w:r w:rsidRPr="00805D30">
        <w:rPr>
          <w:rFonts w:ascii="Palatino Linotype" w:hAnsi="Palatino Linotype"/>
          <w:i/>
          <w:sz w:val="22"/>
          <w:szCs w:val="22"/>
        </w:rPr>
        <w:t xml:space="preserve">, en términos del artículo 143 de la </w:t>
      </w:r>
      <w:r w:rsidRPr="00805D30">
        <w:rPr>
          <w:rFonts w:ascii="Palatino Linotype" w:hAnsi="Palatino Linotype"/>
          <w:i/>
          <w:iCs/>
          <w:color w:val="222222"/>
          <w:sz w:val="22"/>
          <w:szCs w:val="22"/>
          <w:shd w:val="clear" w:color="auto" w:fill="FFFFFF"/>
        </w:rPr>
        <w:t xml:space="preserve">Ley de Transparencia y Acceso a la Información Pública del Estado de México y Municipios, el Comité </w:t>
      </w:r>
      <w:r w:rsidRPr="00805D30">
        <w:rPr>
          <w:rFonts w:ascii="Palatino Linotype" w:hAnsi="Palatino Linotype"/>
          <w:i/>
          <w:sz w:val="22"/>
          <w:szCs w:val="22"/>
        </w:rPr>
        <w:t>deberá aprobar dicha clasificación</w:t>
      </w:r>
      <w:r w:rsidRPr="00805D30">
        <w:rPr>
          <w:rFonts w:ascii="Palatino Linotype" w:hAnsi="Palatino Linotype"/>
          <w:i/>
          <w:iCs/>
          <w:color w:val="222222"/>
          <w:sz w:val="22"/>
          <w:szCs w:val="22"/>
          <w:shd w:val="clear" w:color="auto" w:fill="FFFFFF"/>
        </w:rPr>
        <w:t xml:space="preserve">. </w:t>
      </w:r>
    </w:p>
    <w:p w:rsidR="005F6B06" w:rsidRPr="005F6B06" w:rsidRDefault="005F6B06" w:rsidP="005F6B06">
      <w:pPr>
        <w:spacing w:after="0" w:line="360" w:lineRule="auto"/>
        <w:ind w:left="360"/>
        <w:contextualSpacing/>
        <w:jc w:val="both"/>
        <w:rPr>
          <w:rFonts w:ascii="Palatino Linotype" w:hAnsi="Palatino Linotype" w:cs="Arial"/>
          <w:sz w:val="24"/>
          <w:szCs w:val="24"/>
        </w:rPr>
      </w:pPr>
    </w:p>
    <w:p w:rsidR="005F6B06" w:rsidRDefault="005F6B06" w:rsidP="005346F7">
      <w:pPr>
        <w:numPr>
          <w:ilvl w:val="0"/>
          <w:numId w:val="1"/>
        </w:numPr>
        <w:spacing w:after="0"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Es de señalar que la Ponencia resolutora determinó que en el caso de las fotografías </w:t>
      </w:r>
      <w:r w:rsidR="006F7C82">
        <w:rPr>
          <w:rFonts w:ascii="Palatino Linotype" w:hAnsi="Palatino Linotype" w:cs="Arial"/>
          <w:sz w:val="24"/>
          <w:szCs w:val="24"/>
        </w:rPr>
        <w:t xml:space="preserve">de los hechos que integran el expediente solicitado, deberían clasificarse en su totalidad. </w:t>
      </w:r>
    </w:p>
    <w:p w:rsidR="006F7C82" w:rsidRPr="005F6B06" w:rsidRDefault="006F7C82" w:rsidP="006F7C82">
      <w:pPr>
        <w:spacing w:after="0" w:line="360" w:lineRule="auto"/>
        <w:ind w:left="360"/>
        <w:contextualSpacing/>
        <w:jc w:val="both"/>
        <w:rPr>
          <w:rFonts w:ascii="Palatino Linotype" w:hAnsi="Palatino Linotype" w:cs="Arial"/>
          <w:sz w:val="24"/>
          <w:szCs w:val="24"/>
        </w:rPr>
      </w:pPr>
    </w:p>
    <w:p w:rsidR="004E1D27" w:rsidRDefault="004E1D27" w:rsidP="005346F7">
      <w:pPr>
        <w:numPr>
          <w:ilvl w:val="0"/>
          <w:numId w:val="1"/>
        </w:numPr>
        <w:spacing w:after="0" w:line="360" w:lineRule="auto"/>
        <w:contextualSpacing/>
        <w:jc w:val="both"/>
        <w:rPr>
          <w:rFonts w:ascii="Palatino Linotype" w:hAnsi="Palatino Linotype" w:cs="Arial"/>
          <w:sz w:val="24"/>
          <w:szCs w:val="24"/>
        </w:rPr>
      </w:pPr>
      <w:r w:rsidRPr="004E1D27">
        <w:rPr>
          <w:rFonts w:ascii="Palatino Linotype" w:hAnsi="Palatino Linotype" w:cs="Arial"/>
          <w:sz w:val="24"/>
          <w:szCs w:val="24"/>
          <w:lang w:val="es-ES_tradnl"/>
        </w:rPr>
        <w:t>Por</w:t>
      </w:r>
      <w:r w:rsidRPr="00B10C1A">
        <w:rPr>
          <w:rFonts w:ascii="Palatino Linotype"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w:t>
      </w:r>
      <w:r>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605C7F" w:rsidRDefault="00605C7F" w:rsidP="00605C7F">
      <w:pPr>
        <w:pStyle w:val="Prrafodelista"/>
        <w:rPr>
          <w:rFonts w:ascii="Palatino Linotype" w:hAnsi="Palatino Linotype" w:cs="Arial"/>
          <w:sz w:val="24"/>
          <w:szCs w:val="24"/>
        </w:rPr>
      </w:pPr>
    </w:p>
    <w:p w:rsidR="00605C7F" w:rsidRDefault="00605C7F" w:rsidP="00605C7F">
      <w:pPr>
        <w:spacing w:after="0" w:line="360" w:lineRule="auto"/>
        <w:contextualSpacing/>
        <w:jc w:val="both"/>
        <w:rPr>
          <w:rFonts w:ascii="Palatino Linotype" w:hAnsi="Palatino Linotype" w:cs="Arial"/>
          <w:sz w:val="24"/>
          <w:szCs w:val="24"/>
        </w:rPr>
      </w:pPr>
    </w:p>
    <w:p w:rsidR="00605C7F" w:rsidRPr="00B10C1A" w:rsidRDefault="00605C7F" w:rsidP="00605C7F">
      <w:pPr>
        <w:spacing w:after="0" w:line="360" w:lineRule="auto"/>
        <w:contextualSpacing/>
        <w:jc w:val="both"/>
        <w:rPr>
          <w:rFonts w:ascii="Palatino Linotype" w:hAnsi="Palatino Linotype" w:cs="Arial"/>
          <w:sz w:val="24"/>
          <w:szCs w:val="24"/>
        </w:rPr>
      </w:pPr>
    </w:p>
    <w:p w:rsidR="009C382C" w:rsidRPr="00877AE6" w:rsidRDefault="009C382C" w:rsidP="005346F7">
      <w:pPr>
        <w:pStyle w:val="Ttulo1"/>
        <w:numPr>
          <w:ilvl w:val="0"/>
          <w:numId w:val="2"/>
        </w:numPr>
        <w:ind w:hanging="654"/>
        <w:rPr>
          <w:rFonts w:ascii="Palatino Linotype" w:eastAsia="Calibri" w:hAnsi="Palatino Linotype"/>
          <w:b/>
          <w:color w:val="auto"/>
          <w:sz w:val="24"/>
          <w:szCs w:val="24"/>
          <w:lang w:val="es-ES"/>
        </w:rPr>
      </w:pPr>
      <w:bookmarkStart w:id="2" w:name="_Toc3203376"/>
      <w:r w:rsidRPr="00877AE6">
        <w:rPr>
          <w:rFonts w:ascii="Palatino Linotype" w:eastAsia="Calibri" w:hAnsi="Palatino Linotype"/>
          <w:b/>
          <w:color w:val="auto"/>
          <w:sz w:val="24"/>
          <w:szCs w:val="24"/>
          <w:lang w:val="es-ES"/>
        </w:rPr>
        <w:t>De los requerimientos planteados en el recurso de revisión.</w:t>
      </w:r>
      <w:bookmarkEnd w:id="2"/>
    </w:p>
    <w:p w:rsidR="001744A9" w:rsidRPr="00877AE6" w:rsidRDefault="001744A9" w:rsidP="001744A9">
      <w:pPr>
        <w:pStyle w:val="Prrafodelista"/>
        <w:rPr>
          <w:rFonts w:ascii="Palatino Linotype" w:eastAsia="Calibri" w:hAnsi="Palatino Linotype" w:cs="Arial"/>
          <w:sz w:val="24"/>
          <w:szCs w:val="24"/>
          <w:lang w:val="es-ES"/>
        </w:rPr>
      </w:pPr>
    </w:p>
    <w:p w:rsidR="006F7C82" w:rsidRPr="006F7C82" w:rsidRDefault="009C382C" w:rsidP="005346F7">
      <w:pPr>
        <w:numPr>
          <w:ilvl w:val="0"/>
          <w:numId w:val="1"/>
        </w:numPr>
        <w:spacing w:after="0" w:line="360" w:lineRule="auto"/>
        <w:contextualSpacing/>
        <w:jc w:val="both"/>
        <w:rPr>
          <w:rFonts w:ascii="Palatino Linotype" w:hAnsi="Palatino Linotype"/>
          <w:sz w:val="24"/>
          <w:szCs w:val="24"/>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w:t>
      </w:r>
      <w:r w:rsidR="006F7C82">
        <w:rPr>
          <w:rFonts w:ascii="Palatino Linotype" w:eastAsia="Calibri" w:hAnsi="Palatino Linotype" w:cs="Times New Roman"/>
          <w:sz w:val="24"/>
          <w:szCs w:val="24"/>
        </w:rPr>
        <w:t xml:space="preserve">el </w:t>
      </w:r>
      <w:r w:rsidR="006F7C82">
        <w:rPr>
          <w:rFonts w:ascii="Palatino Linotype" w:hAnsi="Palatino Linotype" w:cs="Arial"/>
          <w:b/>
          <w:szCs w:val="20"/>
        </w:rPr>
        <w:t>Ayuntamiento de Chalco</w:t>
      </w:r>
      <w:r w:rsidRPr="00877AE6">
        <w:rPr>
          <w:rFonts w:ascii="Palatino Linotype" w:eastAsia="Calibri" w:hAnsi="Palatino Linotype" w:cs="Times New Roman"/>
          <w:sz w:val="24"/>
          <w:szCs w:val="24"/>
        </w:rPr>
        <w:t xml:space="preserve">, en </w:t>
      </w:r>
      <w:r w:rsidR="00CC4F91">
        <w:rPr>
          <w:rFonts w:ascii="Palatino Linotype" w:eastAsia="Calibri" w:hAnsi="Palatino Linotype" w:cs="Times New Roman"/>
          <w:sz w:val="24"/>
          <w:szCs w:val="24"/>
        </w:rPr>
        <w:t xml:space="preserve">la cual requirió </w:t>
      </w:r>
      <w:r w:rsidR="006F7C82">
        <w:rPr>
          <w:rFonts w:ascii="Palatino Linotype" w:eastAsia="Calibri" w:hAnsi="Palatino Linotype" w:cs="Times New Roman"/>
          <w:sz w:val="24"/>
          <w:szCs w:val="24"/>
        </w:rPr>
        <w:t>d</w:t>
      </w:r>
      <w:r w:rsidR="006F7C82" w:rsidRPr="006F7C82">
        <w:rPr>
          <w:rFonts w:ascii="Palatino Linotype" w:hAnsi="Palatino Linotype" w:cs="Arial"/>
          <w:sz w:val="24"/>
          <w:szCs w:val="24"/>
        </w:rPr>
        <w:t>el expediente completo de la queja presentada ante la oficina de la Dirección de Desarrollo Urbano relativa al expediente  CHALCO/DDU/PAC/0440/2018, lo siguiente:</w:t>
      </w:r>
    </w:p>
    <w:p w:rsidR="006F7C82" w:rsidRPr="00805D30" w:rsidRDefault="006F7C82" w:rsidP="006F7C82">
      <w:pPr>
        <w:pStyle w:val="Prrafodelista"/>
        <w:widowControl w:val="0"/>
        <w:autoSpaceDE w:val="0"/>
        <w:autoSpaceDN w:val="0"/>
        <w:adjustRightInd w:val="0"/>
        <w:spacing w:after="120" w:line="360" w:lineRule="auto"/>
        <w:ind w:left="0"/>
        <w:jc w:val="both"/>
        <w:rPr>
          <w:rFonts w:ascii="Palatino Linotype" w:hAnsi="Palatino Linotype" w:cs="Arial"/>
        </w:rPr>
      </w:pP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Queja;</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Documentos que amparen la visitas;</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Documentos que respalde lo realizado por la Dirección de Desarrollo Urbano;</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Cédula de notificación;</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Citatorio de garantía de audiencia;</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Información del procedimiento administrativo común;</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lastRenderedPageBreak/>
        <w:t>Mandamiento de verificación;</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Orden de suspensión provisional;</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Fotografías de los hechos;</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Documento de garantía de audiencia;</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Acuerdo de la garantía de audiencia;</w:t>
      </w:r>
    </w:p>
    <w:p w:rsidR="006F7C82" w:rsidRP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Orden de retiro de sellos de suspensión; y</w:t>
      </w:r>
    </w:p>
    <w:p w:rsidR="006F7C82" w:rsidRDefault="006F7C82" w:rsidP="005346F7">
      <w:pPr>
        <w:pStyle w:val="Prrafodelista"/>
        <w:widowControl w:val="0"/>
        <w:numPr>
          <w:ilvl w:val="0"/>
          <w:numId w:val="3"/>
        </w:numPr>
        <w:autoSpaceDE w:val="0"/>
        <w:autoSpaceDN w:val="0"/>
        <w:adjustRightInd w:val="0"/>
        <w:spacing w:after="120" w:line="360" w:lineRule="auto"/>
        <w:ind w:left="851" w:hanging="284"/>
        <w:jc w:val="both"/>
        <w:rPr>
          <w:rFonts w:ascii="Palatino Linotype" w:hAnsi="Palatino Linotype" w:cs="Arial"/>
          <w:sz w:val="24"/>
          <w:szCs w:val="24"/>
        </w:rPr>
      </w:pPr>
      <w:r w:rsidRPr="006F7C82">
        <w:rPr>
          <w:rFonts w:ascii="Palatino Linotype" w:hAnsi="Palatino Linotype" w:cs="Arial"/>
          <w:sz w:val="24"/>
          <w:szCs w:val="24"/>
        </w:rPr>
        <w:t>El manual de procedimientos para la colocación de una antena de comunicación arriostrada de 9 metros de alto para comunicación de internet; así como, normas y requisitos a cumplir.</w:t>
      </w:r>
    </w:p>
    <w:p w:rsidR="00CB08A7" w:rsidRPr="006F7C82" w:rsidRDefault="00CB08A7" w:rsidP="00CB08A7">
      <w:pPr>
        <w:pStyle w:val="Prrafodelista"/>
        <w:widowControl w:val="0"/>
        <w:autoSpaceDE w:val="0"/>
        <w:autoSpaceDN w:val="0"/>
        <w:adjustRightInd w:val="0"/>
        <w:spacing w:after="120" w:line="360" w:lineRule="auto"/>
        <w:ind w:left="851"/>
        <w:jc w:val="both"/>
        <w:rPr>
          <w:rFonts w:ascii="Palatino Linotype" w:hAnsi="Palatino Linotype" w:cs="Arial"/>
          <w:sz w:val="24"/>
          <w:szCs w:val="24"/>
        </w:rPr>
      </w:pPr>
    </w:p>
    <w:p w:rsidR="00E84C48" w:rsidRPr="00E84C48" w:rsidRDefault="00CC4F91" w:rsidP="005346F7">
      <w:pPr>
        <w:numPr>
          <w:ilvl w:val="0"/>
          <w:numId w:val="1"/>
        </w:numPr>
        <w:spacing w:after="0" w:line="360" w:lineRule="auto"/>
        <w:contextualSpacing/>
        <w:jc w:val="both"/>
        <w:rPr>
          <w:rFonts w:ascii="Palatino Linotype" w:hAnsi="Palatino Linotype" w:cs="Arial"/>
          <w:sz w:val="24"/>
          <w:szCs w:val="24"/>
        </w:rPr>
      </w:pPr>
      <w:r>
        <w:rPr>
          <w:rFonts w:ascii="Palatino Linotype" w:eastAsia="Calibri" w:hAnsi="Palatino Linotype" w:cs="Arial"/>
          <w:sz w:val="24"/>
          <w:szCs w:val="24"/>
          <w:lang w:val="es-ES"/>
        </w:rPr>
        <w:t xml:space="preserve">En respuesta </w:t>
      </w:r>
      <w:r w:rsidR="006F7C82">
        <w:rPr>
          <w:rFonts w:ascii="Palatino Linotype" w:eastAsia="Calibri" w:hAnsi="Palatino Linotype" w:cs="Arial"/>
          <w:sz w:val="24"/>
          <w:szCs w:val="24"/>
          <w:lang w:val="es-ES"/>
        </w:rPr>
        <w:t xml:space="preserve">el </w:t>
      </w:r>
      <w:r w:rsidR="006F7C82" w:rsidRPr="006F7C82">
        <w:rPr>
          <w:rFonts w:ascii="Palatino Linotype" w:eastAsia="Calibri" w:hAnsi="Palatino Linotype" w:cs="Arial"/>
          <w:sz w:val="24"/>
          <w:szCs w:val="24"/>
          <w:lang w:val="es-ES"/>
        </w:rPr>
        <w:t>Sujeto Obligado</w:t>
      </w:r>
      <w:r w:rsidR="006F7C82">
        <w:rPr>
          <w:rFonts w:ascii="Palatino Linotype" w:eastAsia="Calibri" w:hAnsi="Palatino Linotype" w:cs="Arial"/>
          <w:sz w:val="24"/>
          <w:szCs w:val="24"/>
          <w:lang w:val="es-ES"/>
        </w:rPr>
        <w:t xml:space="preserve"> entregó en versión púbica diversa documentación para atender los planteamientos formulados por el particular, omitiendo entregar el Acuerdo del Comité de Transparencia que sustentara la clasificación de información. </w:t>
      </w:r>
    </w:p>
    <w:p w:rsidR="00E84C48" w:rsidRPr="00E84C48" w:rsidRDefault="00E84C48" w:rsidP="00E84C48">
      <w:pPr>
        <w:spacing w:after="0" w:line="360" w:lineRule="auto"/>
        <w:ind w:left="360"/>
        <w:contextualSpacing/>
        <w:jc w:val="both"/>
        <w:rPr>
          <w:rFonts w:ascii="Palatino Linotype" w:hAnsi="Palatino Linotype" w:cs="Arial"/>
          <w:sz w:val="24"/>
          <w:szCs w:val="24"/>
        </w:rPr>
      </w:pPr>
    </w:p>
    <w:p w:rsidR="00362134" w:rsidRPr="00877AE6" w:rsidRDefault="00E84C48" w:rsidP="005346F7">
      <w:pPr>
        <w:numPr>
          <w:ilvl w:val="0"/>
          <w:numId w:val="1"/>
        </w:numPr>
        <w:spacing w:after="0" w:line="360" w:lineRule="auto"/>
        <w:contextualSpacing/>
        <w:jc w:val="both"/>
        <w:rPr>
          <w:rFonts w:ascii="Palatino Linotype" w:hAnsi="Palatino Linotype" w:cs="Arial"/>
          <w:spacing w:val="-6"/>
          <w:sz w:val="24"/>
          <w:szCs w:val="24"/>
          <w:lang w:eastAsia="es-MX"/>
        </w:rPr>
      </w:pPr>
      <w:r>
        <w:rPr>
          <w:rFonts w:ascii="Palatino Linotype" w:hAnsi="Palatino Linotype" w:cs="Arial"/>
          <w:sz w:val="24"/>
          <w:szCs w:val="24"/>
        </w:rPr>
        <w:t xml:space="preserve">Inconforme con la respuesta, el particular interpuso el recurso de revisión que </w:t>
      </w:r>
      <w:r w:rsidR="006F7C82">
        <w:rPr>
          <w:rFonts w:ascii="Palatino Linotype" w:hAnsi="Palatino Linotype" w:cs="Arial"/>
          <w:sz w:val="24"/>
          <w:szCs w:val="24"/>
        </w:rPr>
        <w:t>en el que manifestó como razones y motivo de inconformidad que la información era incompleta ya que no le entregaron la queja, el documento que respalde los hechos de la Dirección de Desarrollo Urbano, el Acuerdo de la Garantía de Audiencia, la orden de retiro de sello de suspensión y el Manual de Procedimientos para la colocación de una antena de comunicaci</w:t>
      </w:r>
      <w:r w:rsidR="00CE03EC">
        <w:rPr>
          <w:rFonts w:ascii="Palatino Linotype" w:hAnsi="Palatino Linotype" w:cs="Arial"/>
          <w:sz w:val="24"/>
          <w:szCs w:val="24"/>
        </w:rPr>
        <w:t xml:space="preserve">ón. </w:t>
      </w:r>
    </w:p>
    <w:p w:rsidR="00E84C48" w:rsidRPr="00E84C48" w:rsidRDefault="00E84C48" w:rsidP="00E84C48">
      <w:pPr>
        <w:spacing w:after="0" w:line="360" w:lineRule="auto"/>
        <w:ind w:left="360"/>
        <w:contextualSpacing/>
        <w:jc w:val="both"/>
        <w:rPr>
          <w:rFonts w:ascii="Palatino Linotype" w:eastAsia="Calibri" w:hAnsi="Palatino Linotype" w:cs="Arial"/>
          <w:sz w:val="24"/>
          <w:szCs w:val="24"/>
        </w:rPr>
      </w:pPr>
    </w:p>
    <w:p w:rsidR="00877AE6" w:rsidRPr="00CE03EC" w:rsidRDefault="00434349" w:rsidP="005346F7">
      <w:pPr>
        <w:numPr>
          <w:ilvl w:val="0"/>
          <w:numId w:val="1"/>
        </w:numPr>
        <w:spacing w:after="0" w:line="360" w:lineRule="auto"/>
        <w:contextualSpacing/>
        <w:jc w:val="both"/>
        <w:rPr>
          <w:rFonts w:ascii="Palatino Linotype" w:eastAsia="Calibri" w:hAnsi="Palatino Linotype" w:cs="Arial"/>
          <w:sz w:val="24"/>
          <w:szCs w:val="24"/>
        </w:rPr>
      </w:pPr>
      <w:r w:rsidRPr="00434349">
        <w:rPr>
          <w:rFonts w:ascii="Palatino Linotype" w:hAnsi="Palatino Linotype" w:cs="Arial"/>
          <w:sz w:val="24"/>
          <w:szCs w:val="24"/>
        </w:rPr>
        <w:lastRenderedPageBreak/>
        <w:t xml:space="preserve">EL </w:t>
      </w:r>
      <w:r w:rsidRPr="00434349">
        <w:rPr>
          <w:rFonts w:ascii="Palatino Linotype" w:hAnsi="Palatino Linotype" w:cs="Arial"/>
          <w:b/>
          <w:sz w:val="24"/>
          <w:szCs w:val="24"/>
        </w:rPr>
        <w:t xml:space="preserve">SUJETO OBIGADO </w:t>
      </w:r>
      <w:r w:rsidRPr="00434349">
        <w:rPr>
          <w:rFonts w:ascii="Palatino Linotype" w:hAnsi="Palatino Linotype" w:cs="Arial"/>
          <w:sz w:val="24"/>
          <w:szCs w:val="24"/>
        </w:rPr>
        <w:t>haciendo uso de su derecho al rendir el informe justificado remitió oficios suscritos por los Servidores Públicos Habilitados de la Dirección General de Innovación, de la Secretaría de Planeación y Presupuesto, de la Subsecretaría de Administración, de la Subsecretaría de Tesorería y de la Subsecretaría de Ingresos; áreas que en términos generales manifestaron que NO localizaron la informaci</w:t>
      </w:r>
      <w:r>
        <w:rPr>
          <w:rFonts w:ascii="Palatino Linotype" w:hAnsi="Palatino Linotype" w:cs="Arial"/>
          <w:sz w:val="24"/>
          <w:szCs w:val="24"/>
        </w:rPr>
        <w:t xml:space="preserve">ón. </w:t>
      </w:r>
    </w:p>
    <w:p w:rsidR="00CE03EC" w:rsidRDefault="00CE03EC" w:rsidP="00CE03EC">
      <w:pPr>
        <w:pStyle w:val="Prrafodelista"/>
        <w:rPr>
          <w:rFonts w:ascii="Palatino Linotype" w:eastAsia="Calibri" w:hAnsi="Palatino Linotype" w:cs="Arial"/>
          <w:sz w:val="24"/>
          <w:szCs w:val="24"/>
        </w:rPr>
      </w:pPr>
    </w:p>
    <w:p w:rsidR="00CE03EC" w:rsidRDefault="00CE03EC" w:rsidP="005346F7">
      <w:pPr>
        <w:numPr>
          <w:ilvl w:val="0"/>
          <w:numId w:val="1"/>
        </w:num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Es de precisar, que de las constancias en el Sistema de Acceso la Información Mexiquense (SAIMEX) y del análisis realizado por la Ponencia resolutora, se desprende que se ordenó clasificar en su totalidad las fotografías de los hechos que integran el expediente requerido en la solicitud de información. </w:t>
      </w:r>
    </w:p>
    <w:p w:rsidR="00CB08A7" w:rsidRPr="00434349" w:rsidRDefault="00CB08A7" w:rsidP="00CB08A7">
      <w:pPr>
        <w:spacing w:after="0" w:line="360" w:lineRule="auto"/>
        <w:ind w:left="360"/>
        <w:contextualSpacing/>
        <w:jc w:val="both"/>
        <w:rPr>
          <w:rFonts w:ascii="Palatino Linotype" w:eastAsia="Calibri" w:hAnsi="Palatino Linotype" w:cs="Arial"/>
          <w:sz w:val="24"/>
          <w:szCs w:val="24"/>
        </w:rPr>
      </w:pPr>
    </w:p>
    <w:p w:rsidR="00877AE6" w:rsidRDefault="00CE03EC" w:rsidP="005346F7">
      <w:pPr>
        <w:pStyle w:val="Ttulo1"/>
        <w:numPr>
          <w:ilvl w:val="0"/>
          <w:numId w:val="2"/>
        </w:numPr>
        <w:rPr>
          <w:rFonts w:ascii="Palatino Linotype" w:hAnsi="Palatino Linotype"/>
          <w:b/>
          <w:color w:val="000000" w:themeColor="text1"/>
          <w:sz w:val="24"/>
          <w:szCs w:val="24"/>
        </w:rPr>
      </w:pPr>
      <w:bookmarkStart w:id="3" w:name="_Toc3203377"/>
      <w:r>
        <w:rPr>
          <w:rFonts w:ascii="Palatino Linotype" w:hAnsi="Palatino Linotype"/>
          <w:b/>
          <w:color w:val="000000" w:themeColor="text1"/>
          <w:sz w:val="24"/>
          <w:szCs w:val="24"/>
        </w:rPr>
        <w:t>De la versión pública de las fotografías de hechos que integran el expediente relacionado con el presente recurso de revisión.</w:t>
      </w:r>
      <w:bookmarkEnd w:id="3"/>
    </w:p>
    <w:p w:rsidR="00CB08A7" w:rsidRPr="00CB08A7" w:rsidRDefault="00CB08A7" w:rsidP="00CB08A7"/>
    <w:p w:rsidR="00F37639" w:rsidRPr="00F37639" w:rsidRDefault="00F37639" w:rsidP="005346F7">
      <w:pPr>
        <w:numPr>
          <w:ilvl w:val="0"/>
          <w:numId w:val="1"/>
        </w:numPr>
        <w:spacing w:after="0" w:line="360" w:lineRule="auto"/>
        <w:contextualSpacing/>
        <w:jc w:val="both"/>
        <w:rPr>
          <w:rFonts w:ascii="Palatino Linotype" w:eastAsia="MS Mincho" w:hAnsi="Palatino Linotype" w:cs="Arial"/>
          <w:color w:val="000000" w:themeColor="text1"/>
          <w:sz w:val="24"/>
          <w:szCs w:val="24"/>
        </w:rPr>
      </w:pPr>
      <w:r w:rsidRPr="00F37639">
        <w:rPr>
          <w:rFonts w:ascii="Palatino Linotype" w:eastAsia="Calibri" w:hAnsi="Palatino Linotype" w:cs="Arial"/>
          <w:sz w:val="24"/>
          <w:szCs w:val="24"/>
          <w:lang w:val="es-ES" w:eastAsia="es-MX"/>
        </w:rPr>
        <w:t>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37639">
        <w:rPr>
          <w:rFonts w:ascii="Palatino Linotype" w:eastAsia="Calibri" w:hAnsi="Palatino Linotype" w:cs="Arial"/>
          <w:bCs/>
          <w:sz w:val="24"/>
          <w:szCs w:val="24"/>
        </w:rPr>
        <w:t xml:space="preserve"> VIII,</w:t>
      </w:r>
      <w:r w:rsidRPr="00F37639">
        <w:rPr>
          <w:rFonts w:ascii="Palatino Linotype" w:eastAsia="Calibri" w:hAnsi="Palatino Linotype" w:cs="Arial"/>
          <w:sz w:val="24"/>
          <w:szCs w:val="24"/>
          <w:lang w:val="es-ES" w:eastAsia="es-MX"/>
        </w:rPr>
        <w:t xml:space="preserve"> 122, 135 </w:t>
      </w:r>
      <w:r w:rsidRPr="00F37639">
        <w:rPr>
          <w:rFonts w:ascii="Palatino Linotype" w:hAnsi="Palatino Linotype" w:cs="Arial"/>
          <w:sz w:val="24"/>
          <w:szCs w:val="24"/>
        </w:rPr>
        <w:t xml:space="preserve">143 y 149, así como los establecido en los Lineamientos </w:t>
      </w:r>
      <w:r w:rsidRPr="00F37639">
        <w:rPr>
          <w:rFonts w:ascii="Palatino Linotype" w:hAnsi="Palatino Linotype" w:cs="Arial"/>
          <w:sz w:val="24"/>
          <w:szCs w:val="24"/>
        </w:rPr>
        <w:lastRenderedPageBreak/>
        <w:t>Generales en Materia de Clasificación</w:t>
      </w:r>
      <w:r w:rsidRPr="00F37639">
        <w:rPr>
          <w:sz w:val="24"/>
          <w:szCs w:val="24"/>
        </w:rPr>
        <w:t xml:space="preserve"> </w:t>
      </w:r>
      <w:r w:rsidRPr="00F37639">
        <w:rPr>
          <w:rFonts w:ascii="Palatino Linotype" w:hAnsi="Palatino Linotype" w:cs="Arial"/>
          <w:sz w:val="24"/>
          <w:szCs w:val="24"/>
        </w:rPr>
        <w:t>y Desclasificación de la Información, así  como para  la elaboración de versiones públicas</w:t>
      </w:r>
    </w:p>
    <w:p w:rsidR="00F37639" w:rsidRPr="00F37639" w:rsidRDefault="00F37639" w:rsidP="00F37639">
      <w:pPr>
        <w:spacing w:after="0" w:line="360" w:lineRule="auto"/>
        <w:ind w:left="360"/>
        <w:contextualSpacing/>
        <w:jc w:val="both"/>
        <w:rPr>
          <w:rFonts w:ascii="Palatino Linotype" w:eastAsia="MS Mincho" w:hAnsi="Palatino Linotype" w:cs="Arial"/>
          <w:color w:val="000000" w:themeColor="text1"/>
          <w:sz w:val="24"/>
          <w:szCs w:val="24"/>
        </w:rPr>
      </w:pPr>
    </w:p>
    <w:p w:rsidR="00726CEB" w:rsidRDefault="00F37639" w:rsidP="005346F7">
      <w:pPr>
        <w:numPr>
          <w:ilvl w:val="0"/>
          <w:numId w:val="1"/>
        </w:numPr>
        <w:spacing w:after="0" w:line="360" w:lineRule="auto"/>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Suponiendo sin conceder que en las fotografías de los hechos relacionadas con el expediente requerido por el recurrente, pudieran contener imágenes de personas que ocupan cargos de servidores públicos; en un ejercicio de máxima publicidad, considero debe entregarse la versión pública de las fotografías de los hechos, omitiendo la identidad o cualquier dato personal que pudiera afectar la esfera </w:t>
      </w:r>
      <w:r w:rsidR="00726CEB">
        <w:rPr>
          <w:rFonts w:ascii="Palatino Linotype" w:eastAsia="Calibri" w:hAnsi="Palatino Linotype" w:cs="Arial"/>
          <w:sz w:val="24"/>
          <w:szCs w:val="24"/>
        </w:rPr>
        <w:t>más</w:t>
      </w:r>
      <w:r>
        <w:rPr>
          <w:rFonts w:ascii="Palatino Linotype" w:eastAsia="Calibri" w:hAnsi="Palatino Linotype" w:cs="Arial"/>
          <w:sz w:val="24"/>
          <w:szCs w:val="24"/>
        </w:rPr>
        <w:t xml:space="preserve"> íntima de las personas, </w:t>
      </w:r>
      <w:r w:rsidR="00726CEB">
        <w:rPr>
          <w:rFonts w:ascii="Palatino Linotype" w:eastAsia="Calibri" w:hAnsi="Palatino Linotype" w:cs="Arial"/>
          <w:sz w:val="24"/>
          <w:szCs w:val="24"/>
        </w:rPr>
        <w:t xml:space="preserve">garantizando el derecho a la protección de los datos personales sin vulnerar del derecho de acceso a la información del recurrente. </w:t>
      </w:r>
    </w:p>
    <w:p w:rsidR="00CB08A7" w:rsidRDefault="00CB08A7" w:rsidP="00CB08A7">
      <w:pPr>
        <w:pStyle w:val="Prrafodelista"/>
        <w:rPr>
          <w:rFonts w:ascii="Palatino Linotype" w:eastAsia="Calibri" w:hAnsi="Palatino Linotype" w:cs="Arial"/>
          <w:sz w:val="24"/>
          <w:szCs w:val="24"/>
        </w:rPr>
      </w:pPr>
    </w:p>
    <w:p w:rsidR="00CB08A7" w:rsidRDefault="00726CEB" w:rsidP="005346F7">
      <w:pPr>
        <w:numPr>
          <w:ilvl w:val="0"/>
          <w:numId w:val="1"/>
        </w:numPr>
        <w:spacing w:after="0" w:line="360" w:lineRule="auto"/>
        <w:contextualSpacing/>
        <w:jc w:val="both"/>
        <w:rPr>
          <w:rFonts w:ascii="Palatino Linotype" w:eastAsia="Calibri" w:hAnsi="Palatino Linotype" w:cs="Arial"/>
          <w:sz w:val="24"/>
          <w:szCs w:val="24"/>
        </w:rPr>
      </w:pPr>
      <w:r w:rsidRPr="00CB08A7">
        <w:rPr>
          <w:rFonts w:ascii="Palatino Linotype" w:eastAsia="Calibri" w:hAnsi="Palatino Linotype" w:cs="Arial"/>
          <w:sz w:val="24"/>
          <w:szCs w:val="24"/>
        </w:rPr>
        <w:t>No se pierde de vista que la Ley de Protección de Datos Personales en Posesión de Sujetos Obligados del Estado de México y Municipios es muy clara al establecer que aquellos Sujetos Obligados  que generen, posean o administren documentos que contengan datos personales, son responsables del tratamiento de estos datos, deberán observar los principios de licitud, consentimiento, información, calidad, lealtad, finalidad, proporcionalidad y responsabilidad; situación que no impide que las fotografías</w:t>
      </w:r>
      <w:r w:rsidR="00CB08A7">
        <w:rPr>
          <w:rFonts w:ascii="Palatino Linotype" w:eastAsia="Calibri" w:hAnsi="Palatino Linotype" w:cs="Arial"/>
          <w:sz w:val="24"/>
          <w:szCs w:val="24"/>
        </w:rPr>
        <w:t xml:space="preserve"> de los hechos contenidas en el expediente</w:t>
      </w:r>
      <w:r w:rsidRPr="00CB08A7">
        <w:rPr>
          <w:rFonts w:ascii="Palatino Linotype" w:eastAsia="Calibri" w:hAnsi="Palatino Linotype" w:cs="Arial"/>
          <w:sz w:val="24"/>
          <w:szCs w:val="24"/>
        </w:rPr>
        <w:t xml:space="preserve"> puedan entregarse en </w:t>
      </w:r>
      <w:r w:rsidR="00CB08A7">
        <w:rPr>
          <w:rFonts w:ascii="Palatino Linotype" w:eastAsia="Calibri" w:hAnsi="Palatino Linotype" w:cs="Arial"/>
          <w:sz w:val="24"/>
          <w:szCs w:val="24"/>
        </w:rPr>
        <w:t xml:space="preserve">versión </w:t>
      </w:r>
      <w:r w:rsidRPr="00CB08A7">
        <w:rPr>
          <w:rFonts w:ascii="Palatino Linotype" w:eastAsia="Calibri" w:hAnsi="Palatino Linotype" w:cs="Arial"/>
          <w:sz w:val="24"/>
          <w:szCs w:val="24"/>
        </w:rPr>
        <w:t>p</w:t>
      </w:r>
      <w:r w:rsidR="00CB08A7">
        <w:rPr>
          <w:rFonts w:ascii="Palatino Linotype" w:eastAsia="Calibri" w:hAnsi="Palatino Linotype" w:cs="Arial"/>
          <w:sz w:val="24"/>
          <w:szCs w:val="24"/>
        </w:rPr>
        <w:t xml:space="preserve">ública, máxime que el titular de tales documentos los requiere y acredita personalidad. </w:t>
      </w:r>
    </w:p>
    <w:p w:rsidR="00CB08A7" w:rsidRDefault="00CB08A7" w:rsidP="00CB08A7">
      <w:pPr>
        <w:pStyle w:val="Prrafodelista"/>
        <w:rPr>
          <w:rFonts w:ascii="Palatino Linotype" w:hAnsi="Palatino Linotype" w:cs="Arial"/>
          <w:sz w:val="24"/>
          <w:szCs w:val="24"/>
        </w:rPr>
      </w:pPr>
    </w:p>
    <w:p w:rsidR="00C32891" w:rsidRPr="00CB08A7" w:rsidRDefault="00136528" w:rsidP="005346F7">
      <w:pPr>
        <w:numPr>
          <w:ilvl w:val="0"/>
          <w:numId w:val="1"/>
        </w:numPr>
        <w:spacing w:after="0" w:line="360" w:lineRule="auto"/>
        <w:contextualSpacing/>
        <w:jc w:val="both"/>
        <w:rPr>
          <w:rFonts w:ascii="Palatino Linotype" w:eastAsia="Calibri" w:hAnsi="Palatino Linotype" w:cs="Arial"/>
          <w:sz w:val="24"/>
          <w:szCs w:val="24"/>
        </w:rPr>
      </w:pPr>
      <w:r w:rsidRPr="00CB08A7">
        <w:rPr>
          <w:rFonts w:ascii="Palatino Linotype" w:hAnsi="Palatino Linotype" w:cs="Arial"/>
          <w:sz w:val="24"/>
          <w:szCs w:val="24"/>
        </w:rPr>
        <w:lastRenderedPageBreak/>
        <w:t xml:space="preserve">Por consiguiente, </w:t>
      </w:r>
      <w:r w:rsidR="00605C7F" w:rsidRPr="00CB08A7">
        <w:rPr>
          <w:rFonts w:ascii="Palatino Linotype" w:hAnsi="Palatino Linotype" w:cs="Arial"/>
          <w:sz w:val="24"/>
          <w:szCs w:val="24"/>
        </w:rPr>
        <w:t xml:space="preserve">para que </w:t>
      </w:r>
      <w:r w:rsidR="00726CEB" w:rsidRPr="00CB08A7">
        <w:rPr>
          <w:rFonts w:ascii="Palatino Linotype" w:hAnsi="Palatino Linotype" w:cs="Arial"/>
          <w:sz w:val="24"/>
          <w:szCs w:val="24"/>
        </w:rPr>
        <w:t>con</w:t>
      </w:r>
      <w:r w:rsidR="00605C7F" w:rsidRPr="00CB08A7">
        <w:rPr>
          <w:rFonts w:ascii="Palatino Linotype" w:hAnsi="Palatino Linotype" w:cs="Arial"/>
          <w:sz w:val="24"/>
          <w:szCs w:val="24"/>
        </w:rPr>
        <w:t xml:space="preserve"> la presente resolución se </w:t>
      </w:r>
      <w:r w:rsidR="00726CEB" w:rsidRPr="00CB08A7">
        <w:rPr>
          <w:rFonts w:ascii="Palatino Linotype" w:hAnsi="Palatino Linotype" w:cs="Arial"/>
          <w:sz w:val="24"/>
          <w:szCs w:val="24"/>
        </w:rPr>
        <w:t xml:space="preserve">atendieran todos los requerimientos formulados por el particular debió ordenarse la versión púbica de las fotografías de los hechos requeridas por el particular, además de que el recurrente en las razones </w:t>
      </w:r>
      <w:r w:rsidR="00EF17FA" w:rsidRPr="00CB08A7">
        <w:rPr>
          <w:rFonts w:ascii="Palatino Linotype" w:hAnsi="Palatino Linotype" w:cs="Arial"/>
          <w:sz w:val="24"/>
          <w:szCs w:val="24"/>
        </w:rPr>
        <w:t xml:space="preserve">o motivos </w:t>
      </w:r>
      <w:r w:rsidR="00CB08A7" w:rsidRPr="00CB08A7">
        <w:rPr>
          <w:rFonts w:ascii="Palatino Linotype" w:hAnsi="Palatino Linotype" w:cs="Arial"/>
          <w:sz w:val="24"/>
          <w:szCs w:val="24"/>
        </w:rPr>
        <w:t>de inconformidad manifestó ser el titular de dichos documentos, anexando identificación oficial que corresponde a la misma persona que formuló la solicitud de información</w:t>
      </w:r>
      <w:r w:rsidR="00605C7F" w:rsidRPr="00CB08A7">
        <w:rPr>
          <w:rFonts w:ascii="Palatino Linotype" w:hAnsi="Palatino Linotype" w:cs="Arial"/>
          <w:sz w:val="24"/>
          <w:szCs w:val="24"/>
        </w:rPr>
        <w:t xml:space="preserve">. </w:t>
      </w:r>
      <w:r w:rsidR="00C32891" w:rsidRPr="00CB08A7">
        <w:rPr>
          <w:rFonts w:ascii="Palatino Linotype" w:hAnsi="Palatino Linotype" w:cs="Arial"/>
          <w:sz w:val="24"/>
          <w:szCs w:val="24"/>
        </w:rPr>
        <w:t>Por tanto, considero que a</w:t>
      </w:r>
      <w:r w:rsidR="00C32891" w:rsidRPr="00CB08A7">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684788" w:rsidRDefault="00684788" w:rsidP="00786073">
      <w:pPr>
        <w:spacing w:after="0" w:line="360" w:lineRule="auto"/>
        <w:ind w:left="360"/>
        <w:contextualSpacing/>
        <w:jc w:val="both"/>
        <w:rPr>
          <w:rFonts w:ascii="Palatino Linotype" w:hAnsi="Palatino Linotype" w:cs="Arial"/>
          <w:sz w:val="24"/>
          <w:szCs w:val="24"/>
        </w:rPr>
      </w:pPr>
    </w:p>
    <w:p w:rsidR="00C32891" w:rsidRDefault="00C32891" w:rsidP="00786073">
      <w:pPr>
        <w:spacing w:after="0" w:line="360" w:lineRule="auto"/>
        <w:ind w:left="360"/>
        <w:contextualSpacing/>
        <w:jc w:val="both"/>
        <w:rPr>
          <w:rFonts w:ascii="Palatino Linotype" w:hAnsi="Palatino Linotype" w:cs="Arial"/>
          <w:sz w:val="24"/>
          <w:szCs w:val="24"/>
        </w:rPr>
      </w:pPr>
    </w:p>
    <w:p w:rsidR="00605C7F" w:rsidRDefault="00605C7F" w:rsidP="00786073">
      <w:pPr>
        <w:spacing w:after="0" w:line="360" w:lineRule="auto"/>
        <w:ind w:left="360"/>
        <w:contextualSpacing/>
        <w:jc w:val="both"/>
        <w:rPr>
          <w:rFonts w:ascii="Palatino Linotype" w:hAnsi="Palatino Linotype" w:cs="Arial"/>
          <w:sz w:val="24"/>
          <w:szCs w:val="24"/>
        </w:rPr>
      </w:pPr>
    </w:p>
    <w:p w:rsidR="000D5AEA" w:rsidRPr="00877AE6" w:rsidRDefault="000D5AEA" w:rsidP="00C32891">
      <w:pPr>
        <w:spacing w:after="0" w:line="360" w:lineRule="auto"/>
        <w:ind w:left="360"/>
        <w:contextualSpacing/>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0D5AEA" w:rsidRDefault="000D5AEA" w:rsidP="000D5AEA">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p w:rsidR="00CB08A7" w:rsidRPr="00877AE6" w:rsidRDefault="00CB08A7" w:rsidP="000D5AEA">
      <w:pPr>
        <w:jc w:val="center"/>
        <w:rPr>
          <w:rFonts w:ascii="Palatino Linotype" w:eastAsia="Calibri" w:hAnsi="Palatino Linotype" w:cs="Arial"/>
          <w:b/>
          <w:color w:val="0D0D0D" w:themeColor="text1" w:themeTint="F2"/>
          <w:sz w:val="24"/>
          <w:szCs w:val="24"/>
        </w:rPr>
      </w:pPr>
    </w:p>
    <w:p w:rsidR="00A640C7" w:rsidRDefault="00A640C7" w:rsidP="000D5AEA">
      <w:pPr>
        <w:jc w:val="center"/>
        <w:rPr>
          <w:rFonts w:ascii="Palatino Linotype" w:eastAsia="Calibri" w:hAnsi="Palatino Linotype" w:cs="Arial"/>
          <w:b/>
          <w:color w:val="0D0D0D" w:themeColor="text1" w:themeTint="F2"/>
          <w:sz w:val="24"/>
          <w:szCs w:val="24"/>
        </w:rPr>
      </w:pPr>
    </w:p>
    <w:p w:rsidR="00605C7F" w:rsidRDefault="00605C7F" w:rsidP="000D5AEA">
      <w:pPr>
        <w:jc w:val="center"/>
        <w:rPr>
          <w:rFonts w:ascii="Palatino Linotype" w:eastAsia="Calibri" w:hAnsi="Palatino Linotype" w:cs="Arial"/>
          <w:b/>
          <w:color w:val="0D0D0D" w:themeColor="text1" w:themeTint="F2"/>
          <w:sz w:val="24"/>
          <w:szCs w:val="24"/>
        </w:rPr>
      </w:pPr>
    </w:p>
    <w:p w:rsidR="00C32891" w:rsidRDefault="00C32891" w:rsidP="000D5AEA">
      <w:pPr>
        <w:jc w:val="center"/>
        <w:rPr>
          <w:rFonts w:ascii="Palatino Linotype" w:eastAsia="Calibri" w:hAnsi="Palatino Linotype" w:cs="Arial"/>
          <w:b/>
          <w:color w:val="0D0D0D" w:themeColor="text1" w:themeTint="F2"/>
          <w:sz w:val="24"/>
          <w:szCs w:val="24"/>
        </w:rPr>
      </w:pPr>
    </w:p>
    <w:p w:rsidR="00C32891" w:rsidRPr="00C32891" w:rsidRDefault="00C32891" w:rsidP="00C32891">
      <w:pPr>
        <w:rPr>
          <w:rFonts w:ascii="Palatino Linotype" w:eastAsia="Calibri" w:hAnsi="Palatino Linotype" w:cs="Arial"/>
          <w:color w:val="0D0D0D" w:themeColor="text1" w:themeTint="F2"/>
          <w:sz w:val="24"/>
          <w:szCs w:val="24"/>
        </w:rPr>
      </w:pPr>
      <w:r w:rsidRPr="00C32891">
        <w:rPr>
          <w:rFonts w:ascii="Palatino Linotype" w:eastAsia="Calibri" w:hAnsi="Palatino Linotype" w:cs="Arial"/>
          <w:color w:val="0D0D0D" w:themeColor="text1" w:themeTint="F2"/>
          <w:sz w:val="24"/>
          <w:szCs w:val="24"/>
        </w:rPr>
        <w:t>SAVA/sev</w:t>
      </w:r>
    </w:p>
    <w:sectPr w:rsidR="00C32891" w:rsidRPr="00C32891"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389" w:rsidRDefault="00783389" w:rsidP="00E82D3D">
      <w:pPr>
        <w:spacing w:after="0" w:line="240" w:lineRule="auto"/>
      </w:pPr>
      <w:r>
        <w:separator/>
      </w:r>
    </w:p>
  </w:endnote>
  <w:endnote w:type="continuationSeparator" w:id="0">
    <w:p w:rsidR="00783389" w:rsidRDefault="0078338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4FF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4FF8">
              <w:rPr>
                <w:b/>
                <w:bCs/>
                <w:noProof/>
              </w:rPr>
              <w:t>7</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389" w:rsidRDefault="00783389" w:rsidP="00E82D3D">
      <w:pPr>
        <w:spacing w:after="0" w:line="240" w:lineRule="auto"/>
      </w:pPr>
      <w:r>
        <w:separator/>
      </w:r>
    </w:p>
  </w:footnote>
  <w:footnote w:type="continuationSeparator" w:id="0">
    <w:p w:rsidR="00783389" w:rsidRDefault="0078338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7833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7833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7833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202FA"/>
    <w:multiLevelType w:val="hybridMultilevel"/>
    <w:tmpl w:val="F65A62FC"/>
    <w:lvl w:ilvl="0" w:tplc="FCA01E7E">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4B1BAE"/>
    <w:multiLevelType w:val="hybridMultilevel"/>
    <w:tmpl w:val="DBD2C95E"/>
    <w:lvl w:ilvl="0" w:tplc="BA4CA5D4">
      <w:start w:val="1"/>
      <w:numFmt w:val="upperRoman"/>
      <w:lvlText w:val="%1."/>
      <w:lvlJc w:val="left"/>
      <w:pPr>
        <w:ind w:left="1080" w:hanging="720"/>
      </w:pPr>
      <w:rPr>
        <w:rFonts w:hint="default"/>
        <w:b/>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B81F83"/>
    <w:multiLevelType w:val="hybridMultilevel"/>
    <w:tmpl w:val="1BDE6C36"/>
    <w:lvl w:ilvl="0" w:tplc="E4C29EF4">
      <w:start w:val="1"/>
      <w:numFmt w:val="lowerLetter"/>
      <w:lvlText w:val="%1)"/>
      <w:lvlJc w:val="left"/>
      <w:pPr>
        <w:ind w:left="360" w:hanging="360"/>
      </w:pPr>
      <w:rPr>
        <w:rFonts w:ascii="Palatino Linotype" w:eastAsiaTheme="minorHAnsi" w:hAnsi="Palatino Linotype" w:cs="Arial"/>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06292"/>
    <w:rsid w:val="000137B8"/>
    <w:rsid w:val="000143E4"/>
    <w:rsid w:val="00014859"/>
    <w:rsid w:val="00022833"/>
    <w:rsid w:val="00032D26"/>
    <w:rsid w:val="00056DE9"/>
    <w:rsid w:val="00073647"/>
    <w:rsid w:val="00096CC2"/>
    <w:rsid w:val="000B2BC8"/>
    <w:rsid w:val="000C6443"/>
    <w:rsid w:val="000D5AEA"/>
    <w:rsid w:val="000F1AD8"/>
    <w:rsid w:val="000F6EAE"/>
    <w:rsid w:val="00102360"/>
    <w:rsid w:val="00102A9E"/>
    <w:rsid w:val="00113051"/>
    <w:rsid w:val="001134A2"/>
    <w:rsid w:val="001240A5"/>
    <w:rsid w:val="00136528"/>
    <w:rsid w:val="0014534B"/>
    <w:rsid w:val="00146C7D"/>
    <w:rsid w:val="0015056A"/>
    <w:rsid w:val="001744A9"/>
    <w:rsid w:val="001759E6"/>
    <w:rsid w:val="00176DB8"/>
    <w:rsid w:val="00183675"/>
    <w:rsid w:val="00187610"/>
    <w:rsid w:val="001B19B4"/>
    <w:rsid w:val="001B2A38"/>
    <w:rsid w:val="001C2D8C"/>
    <w:rsid w:val="001D51C6"/>
    <w:rsid w:val="001E4EBD"/>
    <w:rsid w:val="001E7FE3"/>
    <w:rsid w:val="00222D24"/>
    <w:rsid w:val="00241815"/>
    <w:rsid w:val="00243ABA"/>
    <w:rsid w:val="00245FAB"/>
    <w:rsid w:val="0025316C"/>
    <w:rsid w:val="0027188D"/>
    <w:rsid w:val="002B4FF8"/>
    <w:rsid w:val="002E3ED2"/>
    <w:rsid w:val="002F79FF"/>
    <w:rsid w:val="00315A31"/>
    <w:rsid w:val="003246CE"/>
    <w:rsid w:val="003258B6"/>
    <w:rsid w:val="00334204"/>
    <w:rsid w:val="00362134"/>
    <w:rsid w:val="00376456"/>
    <w:rsid w:val="00384DBA"/>
    <w:rsid w:val="00391ECE"/>
    <w:rsid w:val="003A094B"/>
    <w:rsid w:val="003B64F7"/>
    <w:rsid w:val="003D1DF8"/>
    <w:rsid w:val="004137A7"/>
    <w:rsid w:val="00434349"/>
    <w:rsid w:val="004505EE"/>
    <w:rsid w:val="00466F45"/>
    <w:rsid w:val="00474F5A"/>
    <w:rsid w:val="0048628E"/>
    <w:rsid w:val="004B0239"/>
    <w:rsid w:val="004B3295"/>
    <w:rsid w:val="004D0D2A"/>
    <w:rsid w:val="004E1262"/>
    <w:rsid w:val="004E1D27"/>
    <w:rsid w:val="004F15BB"/>
    <w:rsid w:val="00510F12"/>
    <w:rsid w:val="005346F7"/>
    <w:rsid w:val="005556CA"/>
    <w:rsid w:val="00573FEE"/>
    <w:rsid w:val="0057636B"/>
    <w:rsid w:val="00581E2F"/>
    <w:rsid w:val="00586D5D"/>
    <w:rsid w:val="005C544A"/>
    <w:rsid w:val="005E38D6"/>
    <w:rsid w:val="005F30BC"/>
    <w:rsid w:val="005F6B06"/>
    <w:rsid w:val="00605C7F"/>
    <w:rsid w:val="00617ACF"/>
    <w:rsid w:val="006257F0"/>
    <w:rsid w:val="00630412"/>
    <w:rsid w:val="00630750"/>
    <w:rsid w:val="00642A01"/>
    <w:rsid w:val="00656A65"/>
    <w:rsid w:val="006577B9"/>
    <w:rsid w:val="00684788"/>
    <w:rsid w:val="00687050"/>
    <w:rsid w:val="006F0A01"/>
    <w:rsid w:val="006F7748"/>
    <w:rsid w:val="006F7C82"/>
    <w:rsid w:val="00707317"/>
    <w:rsid w:val="00714B65"/>
    <w:rsid w:val="00726CEB"/>
    <w:rsid w:val="00733E65"/>
    <w:rsid w:val="007528B1"/>
    <w:rsid w:val="00783389"/>
    <w:rsid w:val="00786073"/>
    <w:rsid w:val="0079319A"/>
    <w:rsid w:val="00797A31"/>
    <w:rsid w:val="007A5C1B"/>
    <w:rsid w:val="007D037D"/>
    <w:rsid w:val="007D1816"/>
    <w:rsid w:val="007F564A"/>
    <w:rsid w:val="008039E7"/>
    <w:rsid w:val="00807E40"/>
    <w:rsid w:val="008101EB"/>
    <w:rsid w:val="008128C6"/>
    <w:rsid w:val="0081508B"/>
    <w:rsid w:val="00877AE6"/>
    <w:rsid w:val="008A4E03"/>
    <w:rsid w:val="008C2121"/>
    <w:rsid w:val="008F7805"/>
    <w:rsid w:val="00902FFF"/>
    <w:rsid w:val="00905472"/>
    <w:rsid w:val="009109B4"/>
    <w:rsid w:val="0098322D"/>
    <w:rsid w:val="009A2D39"/>
    <w:rsid w:val="009C382C"/>
    <w:rsid w:val="009D7DC0"/>
    <w:rsid w:val="00A0789D"/>
    <w:rsid w:val="00A112DF"/>
    <w:rsid w:val="00A13BDF"/>
    <w:rsid w:val="00A17B5F"/>
    <w:rsid w:val="00A25037"/>
    <w:rsid w:val="00A61EE4"/>
    <w:rsid w:val="00A640C7"/>
    <w:rsid w:val="00A66198"/>
    <w:rsid w:val="00A7073D"/>
    <w:rsid w:val="00A7237E"/>
    <w:rsid w:val="00A766F3"/>
    <w:rsid w:val="00A93DB3"/>
    <w:rsid w:val="00AB44E1"/>
    <w:rsid w:val="00B31280"/>
    <w:rsid w:val="00B418D3"/>
    <w:rsid w:val="00B44BEB"/>
    <w:rsid w:val="00B46FD7"/>
    <w:rsid w:val="00B5044C"/>
    <w:rsid w:val="00B6334C"/>
    <w:rsid w:val="00B87397"/>
    <w:rsid w:val="00B9285A"/>
    <w:rsid w:val="00BB488C"/>
    <w:rsid w:val="00C06F53"/>
    <w:rsid w:val="00C13B28"/>
    <w:rsid w:val="00C20346"/>
    <w:rsid w:val="00C32891"/>
    <w:rsid w:val="00C3434E"/>
    <w:rsid w:val="00C71CD0"/>
    <w:rsid w:val="00C743FE"/>
    <w:rsid w:val="00C753D8"/>
    <w:rsid w:val="00C93C6C"/>
    <w:rsid w:val="00CA2B8E"/>
    <w:rsid w:val="00CB08A7"/>
    <w:rsid w:val="00CB73E4"/>
    <w:rsid w:val="00CC4F91"/>
    <w:rsid w:val="00CC7CC1"/>
    <w:rsid w:val="00CD56E2"/>
    <w:rsid w:val="00CE03EC"/>
    <w:rsid w:val="00CF0462"/>
    <w:rsid w:val="00CF69A6"/>
    <w:rsid w:val="00D214EE"/>
    <w:rsid w:val="00D228DE"/>
    <w:rsid w:val="00D7079B"/>
    <w:rsid w:val="00D70E0E"/>
    <w:rsid w:val="00DD14BB"/>
    <w:rsid w:val="00DD319E"/>
    <w:rsid w:val="00DE0E07"/>
    <w:rsid w:val="00DE7A32"/>
    <w:rsid w:val="00E0299B"/>
    <w:rsid w:val="00E06302"/>
    <w:rsid w:val="00E20DC1"/>
    <w:rsid w:val="00E20E86"/>
    <w:rsid w:val="00E220D0"/>
    <w:rsid w:val="00E23078"/>
    <w:rsid w:val="00E235A7"/>
    <w:rsid w:val="00E32640"/>
    <w:rsid w:val="00E37324"/>
    <w:rsid w:val="00E452DC"/>
    <w:rsid w:val="00E469EB"/>
    <w:rsid w:val="00E57622"/>
    <w:rsid w:val="00E82D3D"/>
    <w:rsid w:val="00E84C48"/>
    <w:rsid w:val="00EA1463"/>
    <w:rsid w:val="00EB7577"/>
    <w:rsid w:val="00EF17FA"/>
    <w:rsid w:val="00EF1A34"/>
    <w:rsid w:val="00F01325"/>
    <w:rsid w:val="00F1435E"/>
    <w:rsid w:val="00F16AB7"/>
    <w:rsid w:val="00F30EE8"/>
    <w:rsid w:val="00F354D8"/>
    <w:rsid w:val="00F37639"/>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rancesa">
    <w:name w:val="francesa"/>
    <w:basedOn w:val="Normal"/>
    <w:rsid w:val="0013652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5F6B0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5F6B0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C890-CAF1-4D08-87AE-780D6C86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2019-03-12T00:15:00Z</cp:lastPrinted>
  <dcterms:created xsi:type="dcterms:W3CDTF">2019-03-21T00:13:00Z</dcterms:created>
  <dcterms:modified xsi:type="dcterms:W3CDTF">2019-03-21T00:13:00Z</dcterms:modified>
</cp:coreProperties>
</file>